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4BFE">
      <w:pPr>
        <w:spacing w:before="120" w:beforeAutospacing="0" w:after="120"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en-US"/>
        </w:rPr>
        <w:t xml:space="preserve">BÁO CÁO TÓM TẮT </w:t>
      </w:r>
    </w:p>
    <w:p w14:paraId="0E6F2E4A">
      <w:pPr>
        <w:spacing w:before="120" w:beforeAutospacing="0" w:after="120" w:line="360" w:lineRule="auto"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TÓM TẮT</w:t>
      </w:r>
    </w:p>
    <w:p w14:paraId="0EA91E12">
      <w:pPr>
        <w:spacing w:before="120" w:beforeAutospacing="0" w:after="120" w:line="36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Từ cao ethyl acetate của vỏ cây gội bốn cánh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Aglaia lawii</w:t>
      </w:r>
      <w:r>
        <w:rPr>
          <w:rFonts w:hint="default" w:ascii="Times New Roman" w:hAnsi="Times New Roman" w:eastAsia="Calibri" w:cs="Times New Roman"/>
          <w:i w:val="0"/>
          <w:iCs/>
          <w:sz w:val="24"/>
          <w:szCs w:val="24"/>
          <w:lang w:val="en-US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thu hái ở vườn sưu tầm thực vật Trảng Bom, tỉnh Đồng Nai, bằng các phương pháp sắc ký cột, sắc ký lớp mỏng, và HPLC,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20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hợp chất đã được cô lập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trong đó có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hai diterpenoid kiểu nemoralisin </w:t>
      </w:r>
      <w:r>
        <w:rPr>
          <w:rFonts w:hint="default" w:ascii="Times New Roman" w:hAnsi="Times New Roman" w:eastAsia="Calibri" w:cs="Times New Roman"/>
          <w:sz w:val="24"/>
          <w:szCs w:val="24"/>
        </w:rPr>
        <w:t>mới là nemoralisin O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50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và nemoralisin P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51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Cấu trúc của các hợp chất được xác định bằng cách phân tích các số liệu của phổ NMR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một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chiều và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hai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chiều, MS và IR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kết hợp so sánh với tài liệu tham khảo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ấu hình tuyệt đối của hợp chất mới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/>
        </w:rPr>
        <w:t>50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được xác định thông qua việc so sánh các thông số từ hóa tính toán sử dụng thuyết phiếm hàm mật độ phụ thuộc thời gian (TD-DFT) với phổ ECD và </w:t>
      </w:r>
      <w:r>
        <w:rPr>
          <w:rFonts w:hint="default" w:ascii="Times New Roman" w:hAnsi="Times New Roman" w:eastAsia="Calibri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H NMR thực nghiệm. </w:t>
      </w:r>
    </w:p>
    <w:p w14:paraId="74CC26C9">
      <w:pPr>
        <w:spacing w:before="120" w:beforeAutospacing="0" w:after="120" w:line="360" w:lineRule="auto"/>
        <w:ind w:firstLine="426"/>
        <w:jc w:val="both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Hoạt tính sinh học của các hợp chất cô lập được đánh giá thông qua hai thử nghiệm: khả năng gây độc tế bào ung thư gan HepG2 và khả năng ức chế enzyme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sym w:font="Symbol" w:char="0061"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-glucosidase. Kết quả cho thấy phần lớn các hợp chất không thể hiện hoặc chỉ có hoạt tính yếu. Sáu hợp chất gồm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nemoralisin P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51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), </w:t>
      </w:r>
      <w:r>
        <w:rPr>
          <w:rFonts w:hint="default" w:ascii="Times New Roman" w:hAnsi="Times New Roman" w:eastAsia="SimSun" w:cs="Times New Roman"/>
          <w:sz w:val="24"/>
          <w:szCs w:val="24"/>
        </w:rPr>
        <w:t>6,7-dimethoxy-2-(2-phenylethyl)chromone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57</w:t>
      </w:r>
      <w:r>
        <w:rPr>
          <w:rFonts w:hint="default" w:ascii="Times New Roman" w:hAnsi="Times New Roman" w:eastAsia="SimSun" w:cs="Times New Roman"/>
          <w:sz w:val="24"/>
          <w:szCs w:val="24"/>
        </w:rPr>
        <w:t>), 6-methoxy-2-(2-phenylethyl)chromone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58</w:t>
      </w:r>
      <w:r>
        <w:rPr>
          <w:rFonts w:hint="default" w:ascii="Times New Roman" w:hAnsi="Times New Roman" w:eastAsia="SimSun" w:cs="Times New Roman"/>
          <w:sz w:val="24"/>
          <w:szCs w:val="24"/>
        </w:rPr>
        <w:t>), scopoletin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60</w:t>
      </w:r>
      <w:r>
        <w:rPr>
          <w:rFonts w:hint="default" w:ascii="Times New Roman" w:hAnsi="Times New Roman" w:eastAsia="SimSun" w:cs="Times New Roman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 palmarumycin JC2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62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), và coniferaldehyde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63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) có thể hiện hoạt tính gây độc tế bào ung thư gan HepG2 với giá trị IC</w:t>
      </w:r>
      <w:r>
        <w:rPr>
          <w:rFonts w:hint="default" w:ascii="Times New Roman" w:hAnsi="Times New Roman" w:eastAsia="SimSun" w:cs="Times New Roman"/>
          <w:sz w:val="24"/>
          <w:szCs w:val="24"/>
          <w:vertAlign w:val="subscript"/>
          <w:lang w:val="en-US"/>
        </w:rPr>
        <w:t>50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lần lượt là 50.00, 45.47, 30.00, 55.52,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36.09 và 53.20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sym w:font="Symbol" w:char="006D"/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g/ml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 Bên cạnh đó, hợp chất nemoralisin P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51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)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còn thể hiện khả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năng ức chế enzyme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sym w:font="Symbol" w:char="0061"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-glucosidase với giá trị IC</w:t>
      </w:r>
      <w:r>
        <w:rPr>
          <w:rFonts w:hint="default" w:ascii="Times New Roman" w:hAnsi="Times New Roman" w:eastAsia="SimSun" w:cs="Times New Roman"/>
          <w:sz w:val="24"/>
          <w:szCs w:val="24"/>
          <w:vertAlign w:val="subscript"/>
          <w:lang w:val="en-US"/>
        </w:rPr>
        <w:t>50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là 133.97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sym w:font="Symbol" w:char="006D"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g/ml, tương đương với chất đối chứng dương acarbose (IC</w:t>
      </w:r>
      <w:r>
        <w:rPr>
          <w:rFonts w:hint="default" w:ascii="Times New Roman" w:hAnsi="Times New Roman" w:eastAsia="SimSun" w:cs="Times New Roman"/>
          <w:sz w:val="24"/>
          <w:szCs w:val="24"/>
          <w:vertAlign w:val="subscript"/>
          <w:lang w:val="en-US"/>
        </w:rPr>
        <w:t>50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= 134.6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sym w:font="Symbol" w:char="006D"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g/ml).</w:t>
      </w:r>
    </w:p>
    <w:p w14:paraId="74D62840">
      <w:pPr>
        <w:spacing w:before="120" w:beforeAutospacing="0" w:after="120" w:line="360" w:lineRule="auto"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br w:type="textWrapping"/>
      </w:r>
    </w:p>
    <w:p w14:paraId="1901F68C">
      <w:pP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97EF2"/>
    <w:rsid w:val="198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2026-07-04T05:14:00Z</dcterms:created>
  <dc:creator>Dai cuong Hoa</dc:creator>
  <cp:lastModifiedBy>Dai cuong Hoa</cp:lastModifiedBy>
  <dcterms:modified xsi:type="dcterms:W3CDTF">2026-07-04T05:16:27Z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DD1F42D417AC459395FC1DE47D6ABDC1_11</vt:lpwstr>
  </property>
  <property fmtid="{D5CDD505-2E9C-101B-9397-08002B2CF9AE}" pid="4" name="KSOTemplateDocerSaveRecord">
    <vt:lpwstr>eyJoZGlkIjoiNDMxNzU4YjJjOTFlMGIzMDgzNzVhZWI5YTI2NDFmYjQiLCJ1c2VySWQiOiIxMzkyMTE3OTQ0NTk4In0=</vt:lpwstr>
  </property>
</Properties>
</file>