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56995" w14:textId="44BB7329" w:rsidR="009A1F7A" w:rsidRDefault="009A1F7A" w:rsidP="00C728A9">
      <w:pPr>
        <w:spacing w:before="0" w:after="0"/>
        <w:ind w:left="0" w:firstLine="720"/>
        <w:rPr>
          <w:rFonts w:ascii="Times New Roman" w:eastAsiaTheme="minorHAnsi" w:hAnsi="Times New Roman" w:cs="Times New Roman"/>
          <w:sz w:val="26"/>
          <w:szCs w:val="26"/>
          <w:lang w:eastAsia="en-US"/>
        </w:rPr>
      </w:pPr>
      <w:bookmarkStart w:id="0" w:name="_Toc178843480"/>
      <w:r w:rsidRPr="00176E26">
        <w:rPr>
          <w:rFonts w:ascii="Times New Roman" w:eastAsiaTheme="minorHAnsi" w:hAnsi="Times New Roman" w:cs="Times New Roman"/>
          <w:b/>
          <w:bCs/>
          <w:sz w:val="26"/>
          <w:szCs w:val="26"/>
          <w:lang w:eastAsia="en-US"/>
        </w:rPr>
        <w:t>Tên đề tài</w:t>
      </w:r>
      <w:r w:rsidRPr="00176E26">
        <w:rPr>
          <w:rFonts w:ascii="Times New Roman" w:eastAsiaTheme="minorHAnsi" w:hAnsi="Times New Roman" w:cs="Times New Roman"/>
          <w:sz w:val="26"/>
          <w:szCs w:val="26"/>
          <w:lang w:eastAsia="en-US"/>
        </w:rPr>
        <w:t xml:space="preserve">: </w:t>
      </w:r>
      <w:r w:rsidR="00CE2074" w:rsidRPr="00CE2074">
        <w:rPr>
          <w:rFonts w:ascii="Times New Roman" w:eastAsiaTheme="minorHAnsi" w:hAnsi="Times New Roman" w:cs="Times New Roman"/>
          <w:sz w:val="26"/>
          <w:szCs w:val="26"/>
          <w:lang w:eastAsia="en-US"/>
        </w:rPr>
        <w:t>Áp dụng đánh giá vòng đời (LCA) trong kinh tế tuần hoàn để lựa chọn các giải pháp hướng đến tuần hoàn dinh dưỡng cho ao nuôi tôm siêu thâm canh</w:t>
      </w:r>
    </w:p>
    <w:p w14:paraId="3D49A20D" w14:textId="1CF95701" w:rsidR="00176E26" w:rsidRPr="00A23930" w:rsidRDefault="00176E26" w:rsidP="00C728A9">
      <w:pPr>
        <w:spacing w:before="0" w:after="0"/>
        <w:ind w:left="0" w:firstLine="720"/>
        <w:rPr>
          <w:rFonts w:ascii="Times New Roman" w:eastAsiaTheme="minorHAnsi" w:hAnsi="Times New Roman" w:cs="Times New Roman"/>
          <w:sz w:val="26"/>
          <w:szCs w:val="26"/>
          <w:lang w:val="vi-VN" w:eastAsia="en-US"/>
        </w:rPr>
      </w:pPr>
      <w:r w:rsidRPr="00F42042">
        <w:rPr>
          <w:rFonts w:ascii="Times New Roman" w:eastAsiaTheme="minorHAnsi" w:hAnsi="Times New Roman" w:cs="Times New Roman"/>
          <w:b/>
          <w:bCs/>
          <w:sz w:val="26"/>
          <w:szCs w:val="26"/>
          <w:lang w:eastAsia="en-US"/>
        </w:rPr>
        <w:t>Chủ nhiệm</w:t>
      </w:r>
      <w:r>
        <w:rPr>
          <w:rFonts w:ascii="Times New Roman" w:eastAsiaTheme="minorHAnsi" w:hAnsi="Times New Roman" w:cs="Times New Roman"/>
          <w:sz w:val="26"/>
          <w:szCs w:val="26"/>
          <w:lang w:eastAsia="en-US"/>
        </w:rPr>
        <w:t>: T</w:t>
      </w:r>
      <w:r w:rsidR="00120213">
        <w:rPr>
          <w:rFonts w:ascii="Times New Roman" w:eastAsiaTheme="minorHAnsi" w:hAnsi="Times New Roman" w:cs="Times New Roman"/>
          <w:sz w:val="26"/>
          <w:szCs w:val="26"/>
          <w:lang w:eastAsia="en-US"/>
        </w:rPr>
        <w:t>h</w:t>
      </w:r>
      <w:r>
        <w:rPr>
          <w:rFonts w:ascii="Times New Roman" w:eastAsiaTheme="minorHAnsi" w:hAnsi="Times New Roman" w:cs="Times New Roman"/>
          <w:sz w:val="26"/>
          <w:szCs w:val="26"/>
          <w:lang w:eastAsia="en-US"/>
        </w:rPr>
        <w:t xml:space="preserve">S. </w:t>
      </w:r>
      <w:r w:rsidR="00CE2074">
        <w:rPr>
          <w:rFonts w:ascii="Times New Roman" w:eastAsiaTheme="minorHAnsi" w:hAnsi="Times New Roman" w:cs="Times New Roman"/>
          <w:sz w:val="26"/>
          <w:szCs w:val="26"/>
          <w:lang w:eastAsia="en-US"/>
        </w:rPr>
        <w:t>Trần Trung Kiên</w:t>
      </w:r>
    </w:p>
    <w:p w14:paraId="20CD1577" w14:textId="4B31FF21" w:rsidR="009A1F7A" w:rsidRPr="00CE2074" w:rsidRDefault="009A1F7A" w:rsidP="009A1F7A">
      <w:pPr>
        <w:spacing w:after="120"/>
        <w:ind w:left="0"/>
        <w:jc w:val="center"/>
        <w:outlineLvl w:val="0"/>
        <w:rPr>
          <w:rFonts w:ascii="Times New Roman" w:eastAsiaTheme="minorHAnsi" w:hAnsi="Times New Roman" w:cs="Times New Roman"/>
          <w:b/>
          <w:sz w:val="28"/>
          <w:szCs w:val="28"/>
          <w:lang w:val="vi-VN" w:eastAsia="en-US"/>
        </w:rPr>
      </w:pPr>
      <w:r w:rsidRPr="00CE2074">
        <w:rPr>
          <w:rFonts w:ascii="Times New Roman" w:eastAsiaTheme="minorHAnsi" w:hAnsi="Times New Roman" w:cs="Times New Roman"/>
          <w:b/>
          <w:sz w:val="28"/>
          <w:szCs w:val="28"/>
          <w:lang w:val="vi-VN" w:eastAsia="en-US"/>
        </w:rPr>
        <w:t>TÓM TẮT</w:t>
      </w:r>
      <w:bookmarkEnd w:id="0"/>
    </w:p>
    <w:p w14:paraId="0D82470C" w14:textId="529326EE" w:rsidR="00CE2074" w:rsidRPr="00CE2074" w:rsidRDefault="00CE2074" w:rsidP="006610BE">
      <w:pPr>
        <w:spacing w:beforeLines="60" w:before="144" w:afterLines="60" w:after="144" w:line="312" w:lineRule="auto"/>
        <w:ind w:left="0" w:firstLine="720"/>
        <w:rPr>
          <w:rFonts w:ascii="Times New Roman" w:hAnsi="Times New Roman" w:cs="Times New Roman"/>
          <w:noProof/>
          <w:sz w:val="26"/>
          <w:szCs w:val="26"/>
          <w:lang w:val="vi-VN"/>
        </w:rPr>
      </w:pPr>
      <w:bookmarkStart w:id="1" w:name="_Toc178606882"/>
      <w:bookmarkStart w:id="2" w:name="_Toc178607496"/>
      <w:bookmarkStart w:id="3" w:name="_Toc178843481"/>
      <w:r w:rsidRPr="00CE2074">
        <w:rPr>
          <w:rFonts w:ascii="Times New Roman" w:hAnsi="Times New Roman" w:cs="Times New Roman"/>
          <w:noProof/>
          <w:sz w:val="26"/>
          <w:szCs w:val="26"/>
          <w:lang w:val="vi-VN"/>
        </w:rPr>
        <w:t xml:space="preserve">Nghiên cứu này xem xét các nghiên cứu trong nước và quốc tế về tái chế chất dinh dưỡng trong ao nuôi tôm và tìm hiểu các phương pháp xử lý chất thải ao nuôi tôm trong hệ thống khép kín phù hợp với cách tiếp cận kinh tế tuần hoàn. Nhiều công cụ khác nhau được sử dụng để đánh giá hiệu quả kinh tế và môi trường của các giải pháp này. Việc triển khai mô hình nuôi siêu thâm canh khép kín với tái chế vật chất và năng lượng, cùng với mật độ thả nuôi cao hơn, đã làm tăng Tổng sản lượng (GO) lên 24.363.031.259 VND - gấp hơn 11 lần so với mô hình truyền thống. Chi phí trung gian (IC) tăng 19.030.910.000 VND, trong đó thức ăn chiếm 69,36%, giống chiếm 12,11%, thuốc và hóa chất chiếm 10,35%, năng lượng chiếm 1,87%, cải tạo ao chiếm 2,75% và nhân công chiếm 1,29%. Để giảm chi phí hiệu quả, cần tăng cường tuần hoàn và lọc nước để giảm thiểu chi phí hóa chất, vi sinh, khoáng chất và năng lượng liên quan đến mật độ thả nuôi cao hơn. Hiệu suất năng lượng sinh thái của mô hình nuôi tôm khép kín này là 26,54%, cho thấy năng lượng sản xuất trên mỗi đơn vị sản phẩm gấp 26,54 lần năng lượng tiêu thụ. Các chỉ số năng lượng chính cho phương pháp nuôi siêu thâm canh bao gồm năng suất đạt 26,45 kg/MJ, năng lượng riêng đạt 0,04 MJ/kg và năng lượng ròng đạt 11.294.813 MJ/ha. Điều này làm cho hiệu quả năng lượng cao hơn 2-3 lần so với các phương pháp truyền thống. Xét đến tác động môi trường và hệ sinh thái, hệ thống thâm canh (15%) và bán thâm canh (85%) tiêu thụ trung bình 61,5 ± 6,1 GJ năng lượng trên mỗi tấn tôm sống, với năng suất sơ cấp ròng là 60.700 ± 390 tấn và lượng khí thải tương đương là 43,9 ± 4,42 kg SO₂ tương đương, 63 ± 11 kg PO₄ tương đương và 5.280 ± 510 tấn CO₂ tương đương. </w:t>
      </w:r>
    </w:p>
    <w:p w14:paraId="6B6D638A" w14:textId="759919DE" w:rsidR="00C728A9" w:rsidRPr="00CE2074" w:rsidRDefault="00C728A9" w:rsidP="006610BE">
      <w:pPr>
        <w:spacing w:beforeLines="60" w:before="144" w:afterLines="60" w:after="144" w:line="312" w:lineRule="auto"/>
        <w:ind w:left="0" w:firstLine="720"/>
        <w:rPr>
          <w:rFonts w:ascii="Times New Roman" w:eastAsiaTheme="minorHAnsi" w:hAnsi="Times New Roman" w:cs="Times New Roman"/>
          <w:sz w:val="26"/>
          <w:szCs w:val="26"/>
          <w:lang w:val="vi-VN" w:eastAsia="en-US"/>
        </w:rPr>
      </w:pPr>
      <w:r w:rsidRPr="00CE2074">
        <w:rPr>
          <w:rFonts w:ascii="Times New Roman" w:eastAsiaTheme="minorHAnsi" w:hAnsi="Times New Roman" w:cs="Times New Roman"/>
          <w:sz w:val="26"/>
          <w:szCs w:val="26"/>
          <w:lang w:val="vi-VN" w:eastAsia="en-US"/>
        </w:rPr>
        <w:br w:type="page"/>
      </w:r>
    </w:p>
    <w:p w14:paraId="68A98308" w14:textId="45626945" w:rsidR="009A1F7A" w:rsidRDefault="009A1F7A" w:rsidP="009A1F7A">
      <w:pPr>
        <w:spacing w:after="120"/>
        <w:ind w:left="0"/>
        <w:jc w:val="center"/>
        <w:outlineLvl w:val="0"/>
        <w:rPr>
          <w:rFonts w:ascii="Times New Roman" w:eastAsiaTheme="minorHAnsi" w:hAnsi="Times New Roman" w:cs="Times New Roman"/>
          <w:b/>
          <w:sz w:val="28"/>
          <w:szCs w:val="28"/>
          <w:lang w:eastAsia="en-US"/>
        </w:rPr>
      </w:pPr>
      <w:r w:rsidRPr="00AD75E3">
        <w:rPr>
          <w:rFonts w:ascii="Times New Roman" w:eastAsiaTheme="minorHAnsi" w:hAnsi="Times New Roman" w:cs="Times New Roman"/>
          <w:b/>
          <w:sz w:val="28"/>
          <w:szCs w:val="28"/>
          <w:lang w:eastAsia="en-US"/>
        </w:rPr>
        <w:lastRenderedPageBreak/>
        <w:t>ABSTRACT</w:t>
      </w:r>
      <w:bookmarkEnd w:id="1"/>
      <w:bookmarkEnd w:id="2"/>
      <w:bookmarkEnd w:id="3"/>
    </w:p>
    <w:p w14:paraId="31685F92" w14:textId="49CD848F" w:rsidR="00C728A9" w:rsidRPr="0061043D" w:rsidRDefault="00CE2074" w:rsidP="0061043D">
      <w:pPr>
        <w:spacing w:before="60" w:after="60" w:line="312" w:lineRule="auto"/>
        <w:ind w:left="0" w:firstLine="720"/>
        <w:rPr>
          <w:rFonts w:ascii="Times New Roman" w:hAnsi="Times New Roman" w:cs="Times New Roman"/>
          <w:noProof/>
          <w:sz w:val="26"/>
          <w:szCs w:val="26"/>
        </w:rPr>
      </w:pPr>
      <w:r w:rsidRPr="00CE2074">
        <w:rPr>
          <w:rFonts w:ascii="Times New Roman" w:hAnsi="Times New Roman" w:cs="Times New Roman"/>
          <w:noProof/>
          <w:sz w:val="26"/>
          <w:szCs w:val="26"/>
        </w:rPr>
        <w:t xml:space="preserve">This study reviews domestic and international research on nutrient recycling in shrimp ponds and explores treatments for shrimp pond waste within a closed- loop system aligned with a circular economy approach. </w:t>
      </w:r>
      <w:r>
        <w:rPr>
          <w:rFonts w:ascii="Times New Roman" w:hAnsi="Times New Roman" w:cs="Times New Roman"/>
          <w:noProof/>
          <w:sz w:val="26"/>
          <w:szCs w:val="26"/>
        </w:rPr>
        <w:t>The v</w:t>
      </w:r>
      <w:r w:rsidRPr="00CE2074">
        <w:rPr>
          <w:rFonts w:ascii="Times New Roman" w:hAnsi="Times New Roman" w:cs="Times New Roman"/>
          <w:noProof/>
          <w:sz w:val="26"/>
          <w:szCs w:val="26"/>
        </w:rPr>
        <w:t>arious tools are used to evaluate the economic and environmental effectiveness of these solutions. Implementing a closed- loop super- intensive farming model with material and energy recycling, along with higher stocking densities, inc</w:t>
      </w:r>
      <w:r w:rsidR="006610BE">
        <w:rPr>
          <w:rFonts w:ascii="Times New Roman" w:hAnsi="Times New Roman" w:cs="Times New Roman"/>
          <w:noProof/>
          <w:sz w:val="26"/>
          <w:szCs w:val="26"/>
        </w:rPr>
        <w:t>reased Gross Output (GO) by 24,</w:t>
      </w:r>
      <w:r w:rsidRPr="00CE2074">
        <w:rPr>
          <w:rFonts w:ascii="Times New Roman" w:hAnsi="Times New Roman" w:cs="Times New Roman"/>
          <w:noProof/>
          <w:sz w:val="26"/>
          <w:szCs w:val="26"/>
        </w:rPr>
        <w:t>363,</w:t>
      </w:r>
      <w:r w:rsidR="006610BE">
        <w:rPr>
          <w:rFonts w:ascii="Times New Roman" w:hAnsi="Times New Roman" w:cs="Times New Roman"/>
          <w:noProof/>
          <w:sz w:val="26"/>
          <w:szCs w:val="26"/>
        </w:rPr>
        <w:t>031,</w:t>
      </w:r>
      <w:r w:rsidRPr="00CE2074">
        <w:rPr>
          <w:rFonts w:ascii="Times New Roman" w:hAnsi="Times New Roman" w:cs="Times New Roman"/>
          <w:noProof/>
          <w:sz w:val="26"/>
          <w:szCs w:val="26"/>
        </w:rPr>
        <w:t xml:space="preserve">259 VND- </w:t>
      </w:r>
      <w:r w:rsidR="006610BE">
        <w:rPr>
          <w:rFonts w:ascii="Times New Roman" w:hAnsi="Times New Roman" w:cs="Times New Roman"/>
          <w:noProof/>
          <w:sz w:val="26"/>
          <w:szCs w:val="26"/>
        </w:rPr>
        <w:t>over 11 times the conventional system</w:t>
      </w:r>
      <w:r w:rsidRPr="00CE2074">
        <w:rPr>
          <w:rFonts w:ascii="Times New Roman" w:hAnsi="Times New Roman" w:cs="Times New Roman"/>
          <w:noProof/>
          <w:sz w:val="26"/>
          <w:szCs w:val="26"/>
        </w:rPr>
        <w:t>. Intermediat</w:t>
      </w:r>
      <w:r w:rsidR="006610BE">
        <w:rPr>
          <w:rFonts w:ascii="Times New Roman" w:hAnsi="Times New Roman" w:cs="Times New Roman"/>
          <w:noProof/>
          <w:sz w:val="26"/>
          <w:szCs w:val="26"/>
        </w:rPr>
        <w:t>e costs (IC) rose by 19,</w:t>
      </w:r>
      <w:r w:rsidR="006610BE" w:rsidRPr="006610BE">
        <w:rPr>
          <w:rFonts w:ascii="Times New Roman" w:hAnsi="Times New Roman" w:cs="Times New Roman"/>
          <w:noProof/>
          <w:sz w:val="26"/>
          <w:szCs w:val="26"/>
        </w:rPr>
        <w:t>030</w:t>
      </w:r>
      <w:r w:rsidR="006610BE">
        <w:rPr>
          <w:rFonts w:ascii="Times New Roman" w:hAnsi="Times New Roman" w:cs="Times New Roman"/>
          <w:noProof/>
          <w:sz w:val="26"/>
          <w:szCs w:val="26"/>
        </w:rPr>
        <w:t>,</w:t>
      </w:r>
      <w:r w:rsidR="006610BE" w:rsidRPr="006610BE">
        <w:rPr>
          <w:rFonts w:ascii="Times New Roman" w:hAnsi="Times New Roman" w:cs="Times New Roman"/>
          <w:noProof/>
          <w:sz w:val="26"/>
          <w:szCs w:val="26"/>
        </w:rPr>
        <w:t>910</w:t>
      </w:r>
      <w:r w:rsidR="006610BE">
        <w:rPr>
          <w:rFonts w:ascii="Times New Roman" w:hAnsi="Times New Roman" w:cs="Times New Roman"/>
          <w:noProof/>
          <w:sz w:val="26"/>
          <w:szCs w:val="26"/>
        </w:rPr>
        <w:t>,</w:t>
      </w:r>
      <w:r w:rsidR="006610BE" w:rsidRPr="006610BE">
        <w:rPr>
          <w:rFonts w:ascii="Times New Roman" w:hAnsi="Times New Roman" w:cs="Times New Roman"/>
          <w:noProof/>
          <w:sz w:val="26"/>
          <w:szCs w:val="26"/>
        </w:rPr>
        <w:t>000</w:t>
      </w:r>
      <w:r w:rsidRPr="00CE2074">
        <w:rPr>
          <w:rFonts w:ascii="Times New Roman" w:hAnsi="Times New Roman" w:cs="Times New Roman"/>
          <w:noProof/>
          <w:sz w:val="26"/>
          <w:szCs w:val="26"/>
        </w:rPr>
        <w:t>VND, with feed accounting for</w:t>
      </w:r>
      <w:r w:rsidR="006610BE">
        <w:rPr>
          <w:rFonts w:ascii="Times New Roman" w:hAnsi="Times New Roman" w:cs="Times New Roman"/>
          <w:noProof/>
          <w:sz w:val="26"/>
          <w:szCs w:val="26"/>
        </w:rPr>
        <w:t xml:space="preserve"> 69. 69.36%, seed costs for </w:t>
      </w:r>
      <w:r w:rsidRPr="00CE2074">
        <w:rPr>
          <w:rFonts w:ascii="Times New Roman" w:hAnsi="Times New Roman" w:cs="Times New Roman"/>
          <w:noProof/>
          <w:sz w:val="26"/>
          <w:szCs w:val="26"/>
        </w:rPr>
        <w:t xml:space="preserve">12.11%, </w:t>
      </w:r>
      <w:r w:rsidR="006610BE">
        <w:rPr>
          <w:rFonts w:ascii="Times New Roman" w:hAnsi="Times New Roman" w:cs="Times New Roman"/>
          <w:noProof/>
          <w:sz w:val="26"/>
          <w:szCs w:val="26"/>
        </w:rPr>
        <w:t xml:space="preserve">medicines and chemicals for </w:t>
      </w:r>
      <w:r w:rsidRPr="00CE2074">
        <w:rPr>
          <w:rFonts w:ascii="Times New Roman" w:hAnsi="Times New Roman" w:cs="Times New Roman"/>
          <w:noProof/>
          <w:sz w:val="26"/>
          <w:szCs w:val="26"/>
        </w:rPr>
        <w:t>10.35%, energy for</w:t>
      </w:r>
      <w:r w:rsidR="006610BE">
        <w:rPr>
          <w:rFonts w:ascii="Times New Roman" w:hAnsi="Times New Roman" w:cs="Times New Roman"/>
          <w:noProof/>
          <w:sz w:val="26"/>
          <w:szCs w:val="26"/>
        </w:rPr>
        <w:t xml:space="preserve"> 1.87%, pond renovation for 2.75%, and labor for </w:t>
      </w:r>
      <w:r w:rsidRPr="00CE2074">
        <w:rPr>
          <w:rFonts w:ascii="Times New Roman" w:hAnsi="Times New Roman" w:cs="Times New Roman"/>
          <w:noProof/>
          <w:sz w:val="26"/>
          <w:szCs w:val="26"/>
        </w:rPr>
        <w:t xml:space="preserve">1.29%. To reduce costs effectively, enhancing water recirculation and filtration is necessary to minimize chemical, microbial, mineral, and energy expenses associated with higher stocking densities. The ecological energy efficiency of </w:t>
      </w:r>
      <w:r w:rsidR="00240700">
        <w:rPr>
          <w:rFonts w:ascii="Times New Roman" w:hAnsi="Times New Roman" w:cs="Times New Roman"/>
          <w:noProof/>
          <w:sz w:val="26"/>
          <w:szCs w:val="26"/>
        </w:rPr>
        <w:t xml:space="preserve">the </w:t>
      </w:r>
      <w:r w:rsidRPr="00CE2074">
        <w:rPr>
          <w:rFonts w:ascii="Times New Roman" w:hAnsi="Times New Roman" w:cs="Times New Roman"/>
          <w:noProof/>
          <w:sz w:val="26"/>
          <w:szCs w:val="26"/>
        </w:rPr>
        <w:t>closed</w:t>
      </w:r>
      <w:r w:rsidR="00240700">
        <w:rPr>
          <w:rFonts w:ascii="Times New Roman" w:hAnsi="Times New Roman" w:cs="Times New Roman"/>
          <w:noProof/>
          <w:sz w:val="26"/>
          <w:szCs w:val="26"/>
        </w:rPr>
        <w:t xml:space="preserve"> ecology</w:t>
      </w:r>
      <w:r w:rsidR="006610BE">
        <w:rPr>
          <w:rFonts w:ascii="Times New Roman" w:hAnsi="Times New Roman" w:cs="Times New Roman"/>
          <w:noProof/>
          <w:sz w:val="26"/>
          <w:szCs w:val="26"/>
        </w:rPr>
        <w:t xml:space="preserve"> shrimp farming </w:t>
      </w:r>
      <w:r w:rsidR="00240700">
        <w:rPr>
          <w:rFonts w:ascii="Times New Roman" w:hAnsi="Times New Roman" w:cs="Times New Roman"/>
          <w:noProof/>
          <w:sz w:val="26"/>
          <w:szCs w:val="26"/>
        </w:rPr>
        <w:t>system</w:t>
      </w:r>
      <w:r w:rsidR="006610BE">
        <w:rPr>
          <w:rFonts w:ascii="Times New Roman" w:hAnsi="Times New Roman" w:cs="Times New Roman"/>
          <w:noProof/>
          <w:sz w:val="26"/>
          <w:szCs w:val="26"/>
        </w:rPr>
        <w:t xml:space="preserve"> is 26.</w:t>
      </w:r>
      <w:r w:rsidRPr="00CE2074">
        <w:rPr>
          <w:rFonts w:ascii="Times New Roman" w:hAnsi="Times New Roman" w:cs="Times New Roman"/>
          <w:noProof/>
          <w:sz w:val="26"/>
          <w:szCs w:val="26"/>
        </w:rPr>
        <w:t>54%, indicating the energy produced per unit of product is 26. 54 times the energy consumed. Key energy metrics for super- intensive farm</w:t>
      </w:r>
      <w:r w:rsidR="006610BE">
        <w:rPr>
          <w:rFonts w:ascii="Times New Roman" w:hAnsi="Times New Roman" w:cs="Times New Roman"/>
          <w:noProof/>
          <w:sz w:val="26"/>
          <w:szCs w:val="26"/>
        </w:rPr>
        <w:t>ing include productivity at 26.45 kg/MJ, specific energy at 0.04 MJ/kg, and net energy at 11,294,</w:t>
      </w:r>
      <w:r w:rsidR="00240700">
        <w:rPr>
          <w:rFonts w:ascii="Times New Roman" w:hAnsi="Times New Roman" w:cs="Times New Roman"/>
          <w:noProof/>
          <w:sz w:val="26"/>
          <w:szCs w:val="26"/>
        </w:rPr>
        <w:t>813 MJ/ha. Thus,</w:t>
      </w:r>
      <w:r w:rsidRPr="00CE2074">
        <w:rPr>
          <w:rFonts w:ascii="Times New Roman" w:hAnsi="Times New Roman" w:cs="Times New Roman"/>
          <w:noProof/>
          <w:sz w:val="26"/>
          <w:szCs w:val="26"/>
        </w:rPr>
        <w:t xml:space="preserve"> the energy efficiency 2-3 times higher than traditional methods. Considering environmental and ecosystem impacts, intensive (15%) and semi- intensive (85%) systems c</w:t>
      </w:r>
      <w:r w:rsidR="006610BE">
        <w:rPr>
          <w:rFonts w:ascii="Times New Roman" w:hAnsi="Times New Roman" w:cs="Times New Roman"/>
          <w:noProof/>
          <w:sz w:val="26"/>
          <w:szCs w:val="26"/>
        </w:rPr>
        <w:t>onsume an average of 61.5±6.</w:t>
      </w:r>
      <w:r w:rsidRPr="00CE2074">
        <w:rPr>
          <w:rFonts w:ascii="Times New Roman" w:hAnsi="Times New Roman" w:cs="Times New Roman"/>
          <w:noProof/>
          <w:sz w:val="26"/>
          <w:szCs w:val="26"/>
        </w:rPr>
        <w:t>1 GJ of energy per ton of live shrimp, with a net primary p</w:t>
      </w:r>
      <w:r w:rsidR="006610BE">
        <w:rPr>
          <w:rFonts w:ascii="Times New Roman" w:hAnsi="Times New Roman" w:cs="Times New Roman"/>
          <w:noProof/>
          <w:sz w:val="26"/>
          <w:szCs w:val="26"/>
        </w:rPr>
        <w:t>roductivity of 60, 700±</w:t>
      </w:r>
      <w:r w:rsidRPr="00CE2074">
        <w:rPr>
          <w:rFonts w:ascii="Times New Roman" w:hAnsi="Times New Roman" w:cs="Times New Roman"/>
          <w:noProof/>
          <w:sz w:val="26"/>
          <w:szCs w:val="26"/>
        </w:rPr>
        <w:t>390 ton</w:t>
      </w:r>
      <w:r w:rsidR="006610BE">
        <w:rPr>
          <w:rFonts w:ascii="Times New Roman" w:hAnsi="Times New Roman" w:cs="Times New Roman"/>
          <w:noProof/>
          <w:sz w:val="26"/>
          <w:szCs w:val="26"/>
        </w:rPr>
        <w:t>s, and produce emissions of 43.9±</w:t>
      </w:r>
      <w:r w:rsidRPr="00CE2074">
        <w:rPr>
          <w:rFonts w:ascii="Times New Roman" w:hAnsi="Times New Roman" w:cs="Times New Roman"/>
          <w:noProof/>
          <w:sz w:val="26"/>
          <w:szCs w:val="26"/>
        </w:rPr>
        <w:t>4.2 kg SO</w:t>
      </w:r>
      <w:r w:rsidRPr="006610BE">
        <w:rPr>
          <w:rFonts w:ascii="Times New Roman" w:hAnsi="Times New Roman" w:cs="Times New Roman"/>
          <w:noProof/>
          <w:sz w:val="26"/>
          <w:szCs w:val="26"/>
          <w:vertAlign w:val="subscript"/>
        </w:rPr>
        <w:t>2</w:t>
      </w:r>
      <w:r w:rsidR="006610BE" w:rsidRPr="006610BE">
        <w:rPr>
          <w:rFonts w:ascii="Times New Roman" w:hAnsi="Times New Roman" w:cs="Times New Roman"/>
          <w:noProof/>
          <w:sz w:val="26"/>
          <w:szCs w:val="26"/>
          <w:vertAlign w:val="subscript"/>
        </w:rPr>
        <w:t>eq</w:t>
      </w:r>
      <w:r w:rsidR="006610BE">
        <w:rPr>
          <w:rFonts w:ascii="Times New Roman" w:hAnsi="Times New Roman" w:cs="Times New Roman"/>
          <w:noProof/>
          <w:sz w:val="26"/>
          <w:szCs w:val="26"/>
        </w:rPr>
        <w:t>, 63±11 kg PO</w:t>
      </w:r>
      <w:r w:rsidRPr="006610BE">
        <w:rPr>
          <w:rFonts w:ascii="Times New Roman" w:hAnsi="Times New Roman" w:cs="Times New Roman"/>
          <w:noProof/>
          <w:sz w:val="26"/>
          <w:szCs w:val="26"/>
          <w:vertAlign w:val="subscript"/>
        </w:rPr>
        <w:t>4</w:t>
      </w:r>
      <w:r w:rsidR="006610BE" w:rsidRPr="006610BE">
        <w:rPr>
          <w:rFonts w:ascii="Times New Roman" w:hAnsi="Times New Roman" w:cs="Times New Roman"/>
          <w:noProof/>
          <w:sz w:val="26"/>
          <w:szCs w:val="26"/>
          <w:vertAlign w:val="subscript"/>
        </w:rPr>
        <w:t>eq</w:t>
      </w:r>
      <w:r w:rsidR="006610BE">
        <w:rPr>
          <w:rFonts w:ascii="Times New Roman" w:hAnsi="Times New Roman" w:cs="Times New Roman"/>
          <w:noProof/>
          <w:sz w:val="26"/>
          <w:szCs w:val="26"/>
        </w:rPr>
        <w:t>, and 5,280±</w:t>
      </w:r>
      <w:r w:rsidRPr="00CE2074">
        <w:rPr>
          <w:rFonts w:ascii="Times New Roman" w:hAnsi="Times New Roman" w:cs="Times New Roman"/>
          <w:noProof/>
          <w:sz w:val="26"/>
          <w:szCs w:val="26"/>
        </w:rPr>
        <w:t>510 tons CO</w:t>
      </w:r>
      <w:r w:rsidRPr="006610BE">
        <w:rPr>
          <w:rFonts w:ascii="Times New Roman" w:hAnsi="Times New Roman" w:cs="Times New Roman"/>
          <w:noProof/>
          <w:sz w:val="26"/>
          <w:szCs w:val="26"/>
          <w:vertAlign w:val="subscript"/>
        </w:rPr>
        <w:t>2eq</w:t>
      </w:r>
      <w:r w:rsidRPr="00CE2074">
        <w:rPr>
          <w:rFonts w:ascii="Times New Roman" w:hAnsi="Times New Roman" w:cs="Times New Roman"/>
          <w:noProof/>
          <w:sz w:val="26"/>
          <w:szCs w:val="26"/>
        </w:rPr>
        <w:t>.</w:t>
      </w:r>
      <w:bookmarkStart w:id="4" w:name="_GoBack"/>
      <w:bookmarkEnd w:id="4"/>
    </w:p>
    <w:sectPr w:rsidR="00C728A9" w:rsidRPr="0061043D" w:rsidSect="00C728A9">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94851" w14:textId="77777777" w:rsidR="00482BC6" w:rsidRDefault="00482BC6" w:rsidP="006228FF">
      <w:pPr>
        <w:spacing w:before="0" w:after="0" w:line="240" w:lineRule="auto"/>
      </w:pPr>
      <w:r>
        <w:separator/>
      </w:r>
    </w:p>
  </w:endnote>
  <w:endnote w:type="continuationSeparator" w:id="0">
    <w:p w14:paraId="01C896AB" w14:textId="77777777" w:rsidR="00482BC6" w:rsidRDefault="00482BC6" w:rsidP="006228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956674"/>
      <w:docPartObj>
        <w:docPartGallery w:val="Page Numbers (Bottom of Page)"/>
        <w:docPartUnique/>
      </w:docPartObj>
    </w:sdtPr>
    <w:sdtEndPr>
      <w:rPr>
        <w:rFonts w:ascii="Times New Roman" w:hAnsi="Times New Roman" w:cs="Times New Roman"/>
        <w:noProof/>
        <w:sz w:val="26"/>
        <w:szCs w:val="26"/>
      </w:rPr>
    </w:sdtEndPr>
    <w:sdtContent>
      <w:p w14:paraId="3A807D44" w14:textId="304E11F0" w:rsidR="006228FF" w:rsidRPr="006228FF" w:rsidRDefault="006228FF" w:rsidP="006228FF">
        <w:pPr>
          <w:pStyle w:val="Footer"/>
          <w:tabs>
            <w:tab w:val="clear" w:pos="4680"/>
            <w:tab w:val="clear" w:pos="9360"/>
          </w:tabs>
          <w:ind w:left="0"/>
          <w:jc w:val="center"/>
          <w:rPr>
            <w:rFonts w:ascii="Times New Roman" w:hAnsi="Times New Roman" w:cs="Times New Roman"/>
            <w:sz w:val="26"/>
            <w:szCs w:val="26"/>
          </w:rPr>
        </w:pPr>
        <w:r w:rsidRPr="006228FF">
          <w:rPr>
            <w:rFonts w:ascii="Times New Roman" w:hAnsi="Times New Roman" w:cs="Times New Roman"/>
            <w:sz w:val="26"/>
            <w:szCs w:val="26"/>
          </w:rPr>
          <w:fldChar w:fldCharType="begin"/>
        </w:r>
        <w:r w:rsidRPr="006228FF">
          <w:rPr>
            <w:rFonts w:ascii="Times New Roman" w:hAnsi="Times New Roman" w:cs="Times New Roman"/>
            <w:sz w:val="26"/>
            <w:szCs w:val="26"/>
          </w:rPr>
          <w:instrText xml:space="preserve"> PAGE   \* MERGEFORMAT </w:instrText>
        </w:r>
        <w:r w:rsidRPr="006228FF">
          <w:rPr>
            <w:rFonts w:ascii="Times New Roman" w:hAnsi="Times New Roman" w:cs="Times New Roman"/>
            <w:sz w:val="26"/>
            <w:szCs w:val="26"/>
          </w:rPr>
          <w:fldChar w:fldCharType="separate"/>
        </w:r>
        <w:r w:rsidR="00482BC6">
          <w:rPr>
            <w:rFonts w:ascii="Times New Roman" w:hAnsi="Times New Roman" w:cs="Times New Roman"/>
            <w:noProof/>
            <w:sz w:val="26"/>
            <w:szCs w:val="26"/>
          </w:rPr>
          <w:t>1</w:t>
        </w:r>
        <w:r w:rsidRPr="006228FF">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6669F" w14:textId="77777777" w:rsidR="00482BC6" w:rsidRDefault="00482BC6" w:rsidP="006228FF">
      <w:pPr>
        <w:spacing w:before="0" w:after="0" w:line="240" w:lineRule="auto"/>
      </w:pPr>
      <w:r>
        <w:separator/>
      </w:r>
    </w:p>
  </w:footnote>
  <w:footnote w:type="continuationSeparator" w:id="0">
    <w:p w14:paraId="158A8A12" w14:textId="77777777" w:rsidR="00482BC6" w:rsidRDefault="00482BC6" w:rsidP="006228FF">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AC0"/>
    <w:rsid w:val="00035BF3"/>
    <w:rsid w:val="000979CF"/>
    <w:rsid w:val="00120213"/>
    <w:rsid w:val="00163985"/>
    <w:rsid w:val="00176E26"/>
    <w:rsid w:val="00205495"/>
    <w:rsid w:val="002206EB"/>
    <w:rsid w:val="00220FA2"/>
    <w:rsid w:val="00240700"/>
    <w:rsid w:val="002B4BED"/>
    <w:rsid w:val="002F0B5B"/>
    <w:rsid w:val="0036485A"/>
    <w:rsid w:val="003C3FAC"/>
    <w:rsid w:val="00415A8A"/>
    <w:rsid w:val="00460C3C"/>
    <w:rsid w:val="00463BEA"/>
    <w:rsid w:val="00482BC6"/>
    <w:rsid w:val="004E5AC0"/>
    <w:rsid w:val="00575BF1"/>
    <w:rsid w:val="005F3CFD"/>
    <w:rsid w:val="0061043D"/>
    <w:rsid w:val="006228FF"/>
    <w:rsid w:val="006333C9"/>
    <w:rsid w:val="006610BE"/>
    <w:rsid w:val="00692883"/>
    <w:rsid w:val="006F0D87"/>
    <w:rsid w:val="00701EEC"/>
    <w:rsid w:val="0086079B"/>
    <w:rsid w:val="008F72DD"/>
    <w:rsid w:val="009A1F7A"/>
    <w:rsid w:val="00A0197D"/>
    <w:rsid w:val="00A17C99"/>
    <w:rsid w:val="00A23930"/>
    <w:rsid w:val="00A55F85"/>
    <w:rsid w:val="00A91ADB"/>
    <w:rsid w:val="00AA091A"/>
    <w:rsid w:val="00AD7DF4"/>
    <w:rsid w:val="00B016F5"/>
    <w:rsid w:val="00B65A64"/>
    <w:rsid w:val="00B92828"/>
    <w:rsid w:val="00C161AF"/>
    <w:rsid w:val="00C304A1"/>
    <w:rsid w:val="00C728A9"/>
    <w:rsid w:val="00C75015"/>
    <w:rsid w:val="00C835A1"/>
    <w:rsid w:val="00CE2074"/>
    <w:rsid w:val="00E02BDB"/>
    <w:rsid w:val="00E54BD4"/>
    <w:rsid w:val="00EE154A"/>
    <w:rsid w:val="00F42042"/>
    <w:rsid w:val="00FA0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463A"/>
  <w15:chartTrackingRefBased/>
  <w15:docId w15:val="{EC52F75F-40D6-47CE-AE13-EE56C614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F7A"/>
    <w:pPr>
      <w:spacing w:before="120" w:after="240" w:line="360" w:lineRule="auto"/>
      <w:ind w:left="680"/>
      <w:jc w:val="both"/>
    </w:pPr>
    <w:rPr>
      <w:rFonts w:ascii="Microsoft Sans Serif" w:eastAsia="Tw Cen MT" w:hAnsi="Microsoft Sans Serif" w:cs="Microsoft Sans Serif"/>
      <w:kern w:val="0"/>
      <w:sz w:val="20"/>
      <w:szCs w:val="2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8F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28FF"/>
    <w:rPr>
      <w:rFonts w:ascii="Microsoft Sans Serif" w:eastAsia="Tw Cen MT" w:hAnsi="Microsoft Sans Serif" w:cs="Microsoft Sans Serif"/>
      <w:kern w:val="0"/>
      <w:sz w:val="20"/>
      <w:szCs w:val="20"/>
      <w:lang w:eastAsia="ja-JP"/>
      <w14:ligatures w14:val="none"/>
    </w:rPr>
  </w:style>
  <w:style w:type="paragraph" w:styleId="Footer">
    <w:name w:val="footer"/>
    <w:basedOn w:val="Normal"/>
    <w:link w:val="FooterChar"/>
    <w:uiPriority w:val="99"/>
    <w:unhideWhenUsed/>
    <w:rsid w:val="006228F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28FF"/>
    <w:rPr>
      <w:rFonts w:ascii="Microsoft Sans Serif" w:eastAsia="Tw Cen MT" w:hAnsi="Microsoft Sans Serif" w:cs="Microsoft Sans Serif"/>
      <w:kern w:val="0"/>
      <w:sz w:val="20"/>
      <w:szCs w:val="20"/>
      <w:lang w:eastAsia="ja-JP"/>
      <w14:ligatures w14:val="none"/>
    </w:rPr>
  </w:style>
  <w:style w:type="paragraph" w:customStyle="1" w:styleId="LV-Normal">
    <w:name w:val="LV-Normal"/>
    <w:basedOn w:val="Normal"/>
    <w:qFormat/>
    <w:rsid w:val="00120213"/>
    <w:pPr>
      <w:spacing w:before="0" w:after="0"/>
      <w:ind w:left="0" w:firstLine="720"/>
    </w:pPr>
    <w:rPr>
      <w:rFonts w:ascii="Times New Roman" w:eastAsiaTheme="minorHAnsi" w:hAnsi="Times New Roman" w:cstheme="minorBidi"/>
      <w:bCs/>
      <w:sz w:val="26"/>
      <w:szCs w:val="26"/>
      <w:lang w:eastAsia="en-US"/>
    </w:rPr>
  </w:style>
  <w:style w:type="character" w:customStyle="1" w:styleId="fontstyle01">
    <w:name w:val="fontstyle01"/>
    <w:basedOn w:val="DefaultParagraphFont"/>
    <w:rsid w:val="00120213"/>
    <w:rPr>
      <w:rFonts w:ascii="Times New Roman" w:hAnsi="Times New Roman" w:cs="Times New Roman" w:hint="default"/>
      <w:b w:val="0"/>
      <w:bCs w:val="0"/>
      <w:i w:val="0"/>
      <w:iCs w:val="0"/>
      <w:color w:val="000000"/>
      <w:sz w:val="26"/>
      <w:szCs w:val="26"/>
    </w:rPr>
  </w:style>
  <w:style w:type="paragraph" w:styleId="NormalWeb">
    <w:name w:val="Normal (Web)"/>
    <w:basedOn w:val="Normal"/>
    <w:uiPriority w:val="99"/>
    <w:semiHidden/>
    <w:unhideWhenUsed/>
    <w:rsid w:val="0061043D"/>
    <w:pPr>
      <w:spacing w:before="100" w:beforeAutospacing="1" w:after="100" w:afterAutospacing="1" w:line="240" w:lineRule="auto"/>
      <w:ind w:left="0"/>
      <w:jc w:val="left"/>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61043D"/>
    <w:rPr>
      <w:b/>
      <w:bCs/>
    </w:rPr>
  </w:style>
  <w:style w:type="character" w:styleId="Hyperlink">
    <w:name w:val="Hyperlink"/>
    <w:basedOn w:val="DefaultParagraphFont"/>
    <w:uiPriority w:val="99"/>
    <w:semiHidden/>
    <w:unhideWhenUsed/>
    <w:rsid w:val="0061043D"/>
    <w:rPr>
      <w:color w:val="0000FF"/>
      <w:u w:val="single"/>
    </w:rPr>
  </w:style>
  <w:style w:type="character" w:styleId="Emphasis">
    <w:name w:val="Emphasis"/>
    <w:basedOn w:val="DefaultParagraphFont"/>
    <w:uiPriority w:val="20"/>
    <w:qFormat/>
    <w:rsid w:val="006104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95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DA639-B7AE-4CB3-9F40-0CAFCD1DD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PC6</cp:lastModifiedBy>
  <cp:revision>2</cp:revision>
  <dcterms:created xsi:type="dcterms:W3CDTF">2026-04-20T06:56:00Z</dcterms:created>
  <dcterms:modified xsi:type="dcterms:W3CDTF">2026-04-20T06:56:00Z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2ea074f0-0282-4015-889d-c24a80ace8bb</vt:lpwstr>
  </property>
</Properties>
</file>