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80" w:before="360" w:line="278.00000000000006" w:lineRule="auto"/>
        <w:jc w:val="center"/>
        <w:rPr>
          <w:rFonts w:ascii="Times New Roman" w:cs="Times New Roman" w:eastAsia="Times New Roman" w:hAnsi="Times New Roman"/>
          <w:b w:val="1"/>
          <w:bCs w:val="1"/>
          <w:sz w:val="26"/>
          <w:szCs w:val="26"/>
        </w:rPr>
      </w:pPr>
      <w:bookmarkStart w:colFirst="0" w:colLast="0" w:name="_etbsm21g3se2" w:id="0"/>
      <w:bookmarkEnd w:id="0"/>
      <w:r w:rsidDel="00000000" w:rsidR="00000000" w:rsidRPr="00000000">
        <w:rPr>
          <w:rFonts w:ascii="Times New Roman" w:cs="Times New Roman" w:eastAsia="Times New Roman" w:hAnsi="Times New Roman"/>
          <w:b w:val="1"/>
          <w:bCs w:val="1"/>
          <w:sz w:val="26"/>
          <w:szCs w:val="26"/>
          <w:rtl w:val="0"/>
        </w:rPr>
        <w:t xml:space="preserve">TÓM TẮT</w:t>
      </w:r>
    </w:p>
    <w:p w:rsidR="00000000" w:rsidDel="00000000" w:rsidP="00000000" w:rsidRDefault="00000000" w:rsidRPr="00000000" w14:paraId="00000002">
      <w:pPr>
        <w:spacing w:after="60" w:line="360" w:lineRule="auto"/>
        <w:ind w:right="-227"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Cảm biến SERS (tán xạ Raman tăng cường bề mặt) dựa trên cấu trúc lại Ag@r-TNRs đã được phát triển nhằm đạt đồng thời hai chức năng: khuếch đại tín hiệu Raman và tái sử dụng nhờ hoạt tính quang xúc tác. Hệ vật liệu được chế tạo bằng cách kiểm soát quá trình hình thành hạt nano bạc (Ag NPs) và gắn đều trong các mảng nano TiO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pha rutile (r-TNRs), tạo nên đế SERS có độ đồng nhất cao. Hiệu suất SERS của vật liệu được tối ưu thông qua chiến lược khử cảm ứng ánh sáng, giúp hình thành phân bố AgNPs phù hợp cho việc tăng cường tín hiệu. Hai phân tử chỉ thị crystal violet (CV) và chloramphenicol (CAP) được lựa chọn để đánh giá khả năng phát hiện của nền Ag@r-TNRs. Kết quả cho thấy cấu trúc nano lai này có độ nhạy vượt trội, dựa vào cơ chế tăng cường điện trường (EM) và cơ chế chuyển điện tích (CT). Giới hạn phát hiện đạt 10</w:t>
      </w:r>
      <w:r w:rsidDel="00000000" w:rsidR="00000000" w:rsidRPr="00000000">
        <w:rPr>
          <w:rFonts w:ascii="Times New Roman" w:cs="Times New Roman" w:eastAsia="Times New Roman" w:hAnsi="Times New Roman"/>
          <w:sz w:val="24"/>
          <w:szCs w:val="24"/>
          <w:vertAlign w:val="superscript"/>
          <w:rtl w:val="0"/>
        </w:rPr>
        <w:t xml:space="preserve">-12</w:t>
      </w:r>
      <w:r w:rsidDel="00000000" w:rsidR="00000000" w:rsidRPr="00000000">
        <w:rPr>
          <w:rFonts w:ascii="Times New Roman" w:cs="Times New Roman" w:eastAsia="Times New Roman" w:hAnsi="Times New Roman"/>
          <w:sz w:val="24"/>
          <w:szCs w:val="24"/>
          <w:rtl w:val="0"/>
        </w:rPr>
        <w:t xml:space="preserve"> M đối với CV và 10</w:t>
      </w:r>
      <w:r w:rsidDel="00000000" w:rsidR="00000000" w:rsidRPr="00000000">
        <w:rPr>
          <w:rFonts w:ascii="Times New Roman" w:cs="Times New Roman" w:eastAsia="Times New Roman" w:hAnsi="Times New Roman"/>
          <w:sz w:val="24"/>
          <w:szCs w:val="24"/>
          <w:vertAlign w:val="superscript"/>
          <w:rtl w:val="0"/>
        </w:rPr>
        <w:t xml:space="preserve">-11</w:t>
      </w:r>
      <w:r w:rsidDel="00000000" w:rsidR="00000000" w:rsidRPr="00000000">
        <w:rPr>
          <w:rFonts w:ascii="Times New Roman" w:cs="Times New Roman" w:eastAsia="Times New Roman" w:hAnsi="Times New Roman"/>
          <w:sz w:val="24"/>
          <w:szCs w:val="24"/>
          <w:rtl w:val="0"/>
        </w:rPr>
        <w:t xml:space="preserve"> M đối với CAP, cùng với hệ số khuếch đại (EF) lần lượt là 4.9 × 10</w:t>
      </w:r>
      <w:r w:rsidDel="00000000" w:rsidR="00000000" w:rsidRPr="00000000">
        <w:rPr>
          <w:rFonts w:ascii="Times New Roman" w:cs="Times New Roman" w:eastAsia="Times New Roman" w:hAnsi="Times New Roman"/>
          <w:sz w:val="24"/>
          <w:szCs w:val="24"/>
          <w:vertAlign w:val="superscript"/>
          <w:rtl w:val="0"/>
        </w:rPr>
        <w:t xml:space="preserve">9</w:t>
      </w:r>
      <w:r w:rsidDel="00000000" w:rsidR="00000000" w:rsidRPr="00000000">
        <w:rPr>
          <w:rFonts w:ascii="Times New Roman" w:cs="Times New Roman" w:eastAsia="Times New Roman" w:hAnsi="Times New Roman"/>
          <w:sz w:val="24"/>
          <w:szCs w:val="24"/>
          <w:rtl w:val="0"/>
        </w:rPr>
        <w:t xml:space="preserve"> và 5.6 × 10</w:t>
      </w:r>
      <w:r w:rsidDel="00000000" w:rsidR="00000000" w:rsidRPr="00000000">
        <w:rPr>
          <w:rFonts w:ascii="Times New Roman" w:cs="Times New Roman" w:eastAsia="Times New Roman" w:hAnsi="Times New Roman"/>
          <w:sz w:val="24"/>
          <w:szCs w:val="24"/>
          <w:vertAlign w:val="superscript"/>
          <w:rtl w:val="0"/>
        </w:rPr>
        <w:t xml:space="preserve">8</w:t>
      </w:r>
      <w:r w:rsidDel="00000000" w:rsidR="00000000" w:rsidRPr="00000000">
        <w:rPr>
          <w:rFonts w:ascii="Times New Roman" w:cs="Times New Roman" w:eastAsia="Times New Roman" w:hAnsi="Times New Roman"/>
          <w:sz w:val="24"/>
          <w:szCs w:val="24"/>
          <w:rtl w:val="0"/>
        </w:rPr>
        <w:t xml:space="preserve">. Đế SERS này cũng cho phép phát hiện đồng thời hợp chất CV và CAP trong hỗn hợp, cho thấy đế có độ nhạy và khả năng định tính cao. Nhờ tính quang xúc tác mạnh của TiO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vật liệu có thể tự làm sạch bằng chiếu tia UV, với 99% CV bị phân hủy sau 40 phút chiếu và hiệu suất phục hồi đạt khoảng 93% sau nhiều chu kỳ sử dụng. Với tính năng hai trong một – vừa nhạy trong phân tích SERS, vừa có khả năng quang xúc tác tự làm sạch – vật liệu Ag@r-TNRs thể hiện tiềm năng lớn trong phân tích hóa học và xử lý môi trường nước.</w:t>
      </w:r>
    </w:p>
    <w:p w:rsidR="00000000" w:rsidDel="00000000" w:rsidP="00000000" w:rsidRDefault="00000000" w:rsidRPr="00000000" w14:paraId="0000000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